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E47" w:rsidRPr="00F106C1" w:rsidRDefault="00CE79D3" w:rsidP="005C7E47">
      <w:pPr>
        <w:pStyle w:val="a3"/>
        <w:tabs>
          <w:tab w:val="right" w:pos="10440"/>
          <w:tab w:val="right" w:pos="13323"/>
        </w:tabs>
        <w:rPr>
          <w:rFonts w:cs="Arial"/>
          <w:b w:val="0"/>
          <w:sz w:val="24"/>
          <w:szCs w:val="24"/>
        </w:rPr>
      </w:pPr>
      <w:r>
        <w:rPr>
          <w:rFonts w:cs="Arial"/>
          <w:b w:val="0"/>
          <w:sz w:val="24"/>
          <w:szCs w:val="24"/>
        </w:rPr>
        <w:t>3GPP TSG RAN WG1</w:t>
      </w:r>
      <w:r w:rsidRPr="00633F2C">
        <w:rPr>
          <w:rFonts w:cs="Arial"/>
          <w:b w:val="0"/>
          <w:sz w:val="24"/>
          <w:szCs w:val="24"/>
        </w:rPr>
        <w:t xml:space="preserve"> Meeting</w:t>
      </w:r>
      <w:r w:rsidRPr="00F106C1">
        <w:rPr>
          <w:rFonts w:cs="Arial" w:hint="eastAsia"/>
          <w:b w:val="0"/>
          <w:sz w:val="24"/>
          <w:szCs w:val="24"/>
        </w:rPr>
        <w:t xml:space="preserve"> </w:t>
      </w:r>
      <w:r>
        <w:rPr>
          <w:rFonts w:cs="Arial" w:hint="eastAsia"/>
          <w:b w:val="0"/>
          <w:sz w:val="24"/>
          <w:szCs w:val="24"/>
        </w:rPr>
        <w:t xml:space="preserve">#90            </w:t>
      </w:r>
      <w:r w:rsidR="005C7E47" w:rsidRPr="00F106C1">
        <w:rPr>
          <w:rFonts w:cs="Arial" w:hint="eastAsia"/>
          <w:b w:val="0"/>
          <w:sz w:val="24"/>
          <w:szCs w:val="24"/>
        </w:rPr>
        <w:t xml:space="preserve">                                                      </w:t>
      </w:r>
      <w:r w:rsidR="00EF62AB">
        <w:rPr>
          <w:rFonts w:cs="Arial" w:hint="eastAsia"/>
          <w:b w:val="0"/>
          <w:sz w:val="24"/>
          <w:szCs w:val="24"/>
        </w:rPr>
        <w:t xml:space="preserve"> </w:t>
      </w:r>
      <w:r w:rsidR="00EF62AB" w:rsidRPr="00EF62AB">
        <w:rPr>
          <w:rFonts w:cs="Arial"/>
          <w:b w:val="0"/>
          <w:sz w:val="24"/>
          <w:szCs w:val="24"/>
        </w:rPr>
        <w:t>R1-1713972</w:t>
      </w:r>
    </w:p>
    <w:p w:rsidR="00CE79D3" w:rsidRPr="00F106C1" w:rsidRDefault="00CE79D3" w:rsidP="00CE79D3">
      <w:r>
        <w:rPr>
          <w:rFonts w:ascii="Arial" w:hAnsi="Arial" w:hint="eastAsia"/>
          <w:noProof/>
          <w:sz w:val="24"/>
          <w:szCs w:val="24"/>
          <w:lang w:val="en-US" w:eastAsia="ja-JP"/>
        </w:rPr>
        <w:t>Prague</w:t>
      </w:r>
      <w:r>
        <w:rPr>
          <w:rFonts w:ascii="Arial" w:hAnsi="Arial"/>
          <w:noProof/>
          <w:sz w:val="24"/>
          <w:szCs w:val="24"/>
          <w:lang w:val="en-US" w:eastAsia="ja-JP"/>
        </w:rPr>
        <w:t xml:space="preserve">, </w:t>
      </w:r>
      <w:r w:rsidRPr="00296048">
        <w:rPr>
          <w:rFonts w:ascii="Arial" w:hAnsi="Arial"/>
          <w:noProof/>
          <w:sz w:val="24"/>
          <w:szCs w:val="24"/>
          <w:lang w:val="en-US" w:eastAsia="ja-JP"/>
        </w:rPr>
        <w:t>Czech Republic</w:t>
      </w:r>
      <w:r w:rsidRPr="00633F2C">
        <w:rPr>
          <w:rFonts w:ascii="Arial" w:hAnsi="Arial"/>
          <w:noProof/>
          <w:sz w:val="24"/>
          <w:szCs w:val="24"/>
          <w:lang w:val="en-US" w:eastAsia="ja-JP"/>
        </w:rPr>
        <w:t xml:space="preserve">, </w:t>
      </w:r>
      <w:r>
        <w:rPr>
          <w:rFonts w:ascii="Arial" w:hAnsi="Arial" w:hint="eastAsia"/>
          <w:noProof/>
          <w:sz w:val="24"/>
          <w:szCs w:val="24"/>
          <w:lang w:val="en-US" w:eastAsia="ja-JP"/>
        </w:rPr>
        <w:t>21</w:t>
      </w:r>
      <w:r w:rsidRPr="00633F2C">
        <w:rPr>
          <w:rFonts w:ascii="Arial" w:hAnsi="Arial"/>
          <w:noProof/>
          <w:sz w:val="24"/>
          <w:szCs w:val="24"/>
          <w:vertAlign w:val="superscript"/>
          <w:lang w:val="en-US" w:eastAsia="ja-JP"/>
        </w:rPr>
        <w:t>th</w:t>
      </w:r>
      <w:r w:rsidRPr="00633F2C">
        <w:rPr>
          <w:rFonts w:ascii="Arial" w:hAnsi="Arial"/>
          <w:noProof/>
          <w:sz w:val="24"/>
          <w:szCs w:val="24"/>
          <w:lang w:val="en-US" w:eastAsia="ja-JP"/>
        </w:rPr>
        <w:t xml:space="preserve"> - 2</w:t>
      </w:r>
      <w:r>
        <w:rPr>
          <w:rFonts w:ascii="Arial" w:hAnsi="Arial" w:hint="eastAsia"/>
          <w:noProof/>
          <w:sz w:val="24"/>
          <w:szCs w:val="24"/>
          <w:lang w:val="en-US" w:eastAsia="ja-JP"/>
        </w:rPr>
        <w:t>5</w:t>
      </w:r>
      <w:r w:rsidRPr="00633F2C">
        <w:rPr>
          <w:rFonts w:ascii="Arial" w:hAnsi="Arial"/>
          <w:noProof/>
          <w:sz w:val="24"/>
          <w:szCs w:val="24"/>
          <w:vertAlign w:val="superscript"/>
          <w:lang w:val="en-US" w:eastAsia="ja-JP"/>
        </w:rPr>
        <w:t>th</w:t>
      </w:r>
      <w:r>
        <w:rPr>
          <w:rFonts w:ascii="Arial" w:hAnsi="Arial"/>
          <w:noProof/>
          <w:sz w:val="24"/>
          <w:szCs w:val="24"/>
          <w:lang w:val="en-US" w:eastAsia="ja-JP"/>
        </w:rPr>
        <w:t xml:space="preserve"> </w:t>
      </w:r>
      <w:r>
        <w:rPr>
          <w:rFonts w:ascii="Arial" w:hAnsi="Arial" w:hint="eastAsia"/>
          <w:noProof/>
          <w:sz w:val="24"/>
          <w:szCs w:val="24"/>
          <w:lang w:val="en-US" w:eastAsia="ja-JP"/>
        </w:rPr>
        <w:t>August</w:t>
      </w:r>
      <w:r w:rsidRPr="00633F2C">
        <w:rPr>
          <w:rFonts w:ascii="Arial" w:hAnsi="Arial"/>
          <w:noProof/>
          <w:sz w:val="24"/>
          <w:szCs w:val="24"/>
          <w:lang w:val="en-US" w:eastAsia="ja-JP"/>
        </w:rPr>
        <w:t xml:space="preserve"> 2017</w:t>
      </w:r>
    </w:p>
    <w:p w:rsidR="00AB702C" w:rsidRPr="00A30F99"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7A2C4C" w:rsidRPr="00A30F99">
        <w:rPr>
          <w:rFonts w:ascii="Arial" w:hAnsi="Arial" w:hint="eastAsia"/>
          <w:sz w:val="24"/>
          <w:lang w:val="en-US" w:eastAsia="ja-JP"/>
        </w:rPr>
        <w:t>6</w:t>
      </w:r>
      <w:r w:rsidR="00112044" w:rsidRPr="00A30F99">
        <w:rPr>
          <w:rFonts w:ascii="Arial" w:hAnsi="Arial" w:hint="eastAsia"/>
          <w:sz w:val="24"/>
          <w:lang w:val="en-US" w:eastAsia="ja-JP"/>
        </w:rPr>
        <w:t>.1.</w:t>
      </w:r>
      <w:r w:rsidR="007A2C4C" w:rsidRPr="00A30F99">
        <w:rPr>
          <w:rFonts w:ascii="Arial" w:hAnsi="Arial" w:hint="eastAsia"/>
          <w:sz w:val="24"/>
          <w:lang w:val="en-US" w:eastAsia="ja-JP"/>
        </w:rPr>
        <w:t>7</w:t>
      </w:r>
      <w:r w:rsidR="00277900" w:rsidRPr="00A30F99">
        <w:rPr>
          <w:rFonts w:ascii="Arial" w:hAnsi="Arial" w:hint="eastAsia"/>
          <w:sz w:val="24"/>
          <w:lang w:val="en-US" w:eastAsia="ja-JP"/>
        </w:rPr>
        <w:t>.1</w:t>
      </w:r>
    </w:p>
    <w:p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rsidR="001B2596" w:rsidRDefault="001B2596" w:rsidP="00703616">
      <w:pPr>
        <w:tabs>
          <w:tab w:val="left" w:pos="1985"/>
        </w:tabs>
        <w:ind w:left="1983" w:hangingChars="823" w:hanging="1983"/>
        <w:rPr>
          <w:rFonts w:ascii="Arial" w:hAnsi="Arial"/>
          <w:sz w:val="24"/>
          <w:szCs w:val="24"/>
        </w:rPr>
      </w:pPr>
      <w:r>
        <w:rPr>
          <w:rFonts w:ascii="Arial" w:hAnsi="Arial"/>
          <w:b/>
          <w:sz w:val="24"/>
          <w:lang w:val="en-US"/>
        </w:rPr>
        <w:t>Title:</w:t>
      </w:r>
      <w:r w:rsidR="00703616">
        <w:rPr>
          <w:rFonts w:ascii="Arial" w:hAnsi="Arial"/>
          <w:sz w:val="24"/>
          <w:lang w:val="en-US"/>
        </w:rPr>
        <w:tab/>
      </w:r>
      <w:r w:rsidR="001801D3">
        <w:rPr>
          <w:rFonts w:ascii="Arial" w:hAnsi="Arial" w:hint="eastAsia"/>
          <w:sz w:val="24"/>
          <w:lang w:val="en-US" w:eastAsia="ja-JP"/>
        </w:rPr>
        <w:t>LTE-NR power sharing mechanism</w:t>
      </w:r>
    </w:p>
    <w:p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rsidR="00630707" w:rsidRDefault="00BF4064" w:rsidP="00A95C7C">
      <w:pPr>
        <w:spacing w:before="240"/>
        <w:ind w:firstLineChars="50" w:firstLine="100"/>
        <w:jc w:val="both"/>
        <w:rPr>
          <w:lang w:val="en-US" w:eastAsia="ja-JP"/>
        </w:rPr>
      </w:pPr>
      <w:r>
        <w:rPr>
          <w:rFonts w:hint="eastAsia"/>
          <w:lang w:val="en-US" w:eastAsia="ja-JP"/>
        </w:rPr>
        <w:t>In RAN1-N</w:t>
      </w:r>
      <w:r w:rsidR="003112C9">
        <w:rPr>
          <w:rFonts w:hint="eastAsia"/>
          <w:lang w:val="en-US" w:eastAsia="ja-JP"/>
        </w:rPr>
        <w:t>R#2</w:t>
      </w:r>
      <w:r w:rsidR="00A95C7C">
        <w:rPr>
          <w:rFonts w:hint="eastAsia"/>
          <w:lang w:val="en-US" w:eastAsia="ja-JP"/>
        </w:rPr>
        <w:t xml:space="preserve">, RAN1 agreed </w:t>
      </w:r>
      <w:r w:rsidR="00002231">
        <w:rPr>
          <w:rFonts w:hint="eastAsia"/>
          <w:lang w:val="en-US" w:eastAsia="ja-JP"/>
        </w:rPr>
        <w:t xml:space="preserve">to support at least semi-static power sharing mechanism for LTE-NR dual connectivity </w:t>
      </w:r>
      <w:r w:rsidR="00B02A92">
        <w:rPr>
          <w:rFonts w:hint="eastAsia"/>
          <w:lang w:eastAsia="ja-JP"/>
        </w:rPr>
        <w:t>[</w:t>
      </w:r>
      <w:r w:rsidR="003D1750" w:rsidRPr="00E64D80">
        <w:rPr>
          <w:rFonts w:hint="eastAsia"/>
          <w:lang w:eastAsia="ja-JP"/>
        </w:rPr>
        <w:t>1</w:t>
      </w:r>
      <w:r w:rsidR="004C2550">
        <w:rPr>
          <w:rFonts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B340D" w:rsidRPr="00176393" w:rsidDel="00BD408E" w:rsidTr="00AB5A96">
        <w:trPr>
          <w:jc w:val="center"/>
        </w:trPr>
        <w:tc>
          <w:tcPr>
            <w:tcW w:w="9847" w:type="dxa"/>
            <w:shd w:val="clear" w:color="auto" w:fill="auto"/>
          </w:tcPr>
          <w:p w:rsidR="003112C9" w:rsidRPr="00AF20FF" w:rsidRDefault="003112C9" w:rsidP="003112C9">
            <w:pPr>
              <w:rPr>
                <w:b/>
                <w:u w:val="single"/>
                <w:lang w:eastAsia="ja-JP"/>
              </w:rPr>
            </w:pPr>
            <w:r w:rsidRPr="00AF20FF">
              <w:rPr>
                <w:b/>
                <w:highlight w:val="green"/>
                <w:u w:val="single"/>
                <w:lang w:eastAsia="ja-JP"/>
              </w:rPr>
              <w:t>Agreements</w:t>
            </w:r>
            <w:r w:rsidRPr="00AF20FF">
              <w:rPr>
                <w:b/>
                <w:u w:val="single"/>
                <w:lang w:eastAsia="ja-JP"/>
              </w:rPr>
              <w:t>:</w:t>
            </w:r>
          </w:p>
          <w:p w:rsidR="003112C9" w:rsidRPr="008023BE" w:rsidRDefault="003112C9" w:rsidP="003112C9">
            <w:pPr>
              <w:numPr>
                <w:ilvl w:val="0"/>
                <w:numId w:val="32"/>
              </w:numPr>
              <w:spacing w:after="0"/>
              <w:rPr>
                <w:lang w:eastAsia="ja-JP"/>
              </w:rPr>
            </w:pPr>
            <w:r w:rsidRPr="008023BE">
              <w:rPr>
                <w:lang w:eastAsia="ja-JP"/>
              </w:rPr>
              <w:t>Regarding power sharing for LTE-NR dual connectivity, support at least semi-static power sharing between LTE and NR</w:t>
            </w:r>
          </w:p>
          <w:p w:rsidR="003112C9" w:rsidRPr="006F26E3" w:rsidRDefault="003112C9" w:rsidP="003112C9">
            <w:pPr>
              <w:numPr>
                <w:ilvl w:val="1"/>
                <w:numId w:val="32"/>
              </w:numPr>
              <w:spacing w:after="0"/>
              <w:rPr>
                <w:lang w:eastAsia="ja-JP"/>
              </w:rPr>
            </w:pPr>
            <w:r w:rsidRPr="006F26E3">
              <w:rPr>
                <w:lang w:eastAsia="ja-JP"/>
              </w:rPr>
              <w:t>FFS details</w:t>
            </w:r>
          </w:p>
          <w:p w:rsidR="003112C9" w:rsidRPr="00510CE6" w:rsidRDefault="003112C9" w:rsidP="003112C9">
            <w:pPr>
              <w:numPr>
                <w:ilvl w:val="1"/>
                <w:numId w:val="32"/>
              </w:numPr>
              <w:spacing w:after="0"/>
              <w:rPr>
                <w:lang w:eastAsia="ja-JP"/>
              </w:rPr>
            </w:pPr>
            <w:r w:rsidRPr="00510CE6">
              <w:rPr>
                <w:lang w:eastAsia="ja-JP"/>
              </w:rPr>
              <w:t>Discuss further whether or not to support dynamic power sharing between LTE and NR</w:t>
            </w:r>
          </w:p>
          <w:p w:rsidR="007B340D" w:rsidRPr="003112C9" w:rsidDel="00BD408E" w:rsidRDefault="003112C9" w:rsidP="003112C9">
            <w:pPr>
              <w:numPr>
                <w:ilvl w:val="1"/>
                <w:numId w:val="32"/>
              </w:numPr>
              <w:spacing w:after="0"/>
              <w:rPr>
                <w:lang w:eastAsia="ja-JP"/>
              </w:rPr>
            </w:pPr>
            <w:r w:rsidRPr="00510CE6">
              <w:rPr>
                <w:lang w:eastAsia="ja-JP"/>
              </w:rPr>
              <w:t xml:space="preserve">Discuss further impacts due to other factors, e.g., different TTI lengths, channel/service types, synchronous vs. asynchronous, different processing latency for LTE vs. NR, assumption regarding communication between NR vs. LTE at UE, specification impact to LTE (if any) and/or NR, etc. </w:t>
            </w:r>
          </w:p>
        </w:tc>
      </w:tr>
    </w:tbl>
    <w:p w:rsidR="00227339" w:rsidRPr="00630707" w:rsidRDefault="008951EC" w:rsidP="00227339">
      <w:pPr>
        <w:spacing w:before="240"/>
        <w:jc w:val="both"/>
        <w:rPr>
          <w:lang w:val="en-US" w:eastAsia="ja-JP"/>
        </w:rPr>
      </w:pPr>
      <w:r>
        <w:rPr>
          <w:rFonts w:hint="eastAsia"/>
          <w:lang w:val="en-US" w:eastAsia="ja-JP"/>
        </w:rPr>
        <w:t>In this contribution, we</w:t>
      </w:r>
      <w:r w:rsidR="002058B2">
        <w:rPr>
          <w:rFonts w:hint="eastAsia"/>
          <w:lang w:val="en-US" w:eastAsia="ja-JP"/>
        </w:rPr>
        <w:t xml:space="preserve"> discuss further optimization </w:t>
      </w:r>
      <w:r w:rsidR="006036D8">
        <w:rPr>
          <w:rFonts w:hint="eastAsia"/>
          <w:lang w:val="en-US" w:eastAsia="ja-JP"/>
        </w:rPr>
        <w:t>on</w:t>
      </w:r>
      <w:r>
        <w:rPr>
          <w:rFonts w:hint="eastAsia"/>
          <w:lang w:val="en-US" w:eastAsia="ja-JP"/>
        </w:rPr>
        <w:t xml:space="preserve"> power sharing mechanism.</w:t>
      </w:r>
    </w:p>
    <w:p w:rsidR="00AA5F4F" w:rsidRPr="00AA5F4F" w:rsidRDefault="00AA5F4F" w:rsidP="00AA5F4F">
      <w:pPr>
        <w:pStyle w:val="10"/>
        <w:tabs>
          <w:tab w:val="clear" w:pos="432"/>
          <w:tab w:val="num" w:pos="522"/>
        </w:tabs>
        <w:ind w:left="522" w:hanging="522"/>
        <w:jc w:val="both"/>
        <w:rPr>
          <w:lang w:val="en-US" w:eastAsia="ja-JP"/>
        </w:rPr>
      </w:pPr>
      <w:r>
        <w:rPr>
          <w:rFonts w:hint="eastAsia"/>
          <w:lang w:val="en-US" w:eastAsia="ja-JP"/>
        </w:rPr>
        <w:t>Discussion</w:t>
      </w:r>
    </w:p>
    <w:p w:rsidR="002058B2" w:rsidRDefault="002058B2" w:rsidP="002058B2">
      <w:pPr>
        <w:spacing w:before="240"/>
        <w:ind w:firstLineChars="50" w:firstLine="100"/>
        <w:jc w:val="both"/>
        <w:rPr>
          <w:lang w:val="en-US" w:eastAsia="ja-JP"/>
        </w:rPr>
      </w:pPr>
      <w:r>
        <w:rPr>
          <w:rFonts w:hint="eastAsia"/>
          <w:lang w:val="en-US" w:eastAsia="ja-JP"/>
        </w:rPr>
        <w:t xml:space="preserve">According to the </w:t>
      </w:r>
      <w:r>
        <w:rPr>
          <w:lang w:val="en-US" w:eastAsia="ja-JP"/>
        </w:rPr>
        <w:t>agreement</w:t>
      </w:r>
      <w:r>
        <w:rPr>
          <w:rFonts w:hint="eastAsia"/>
          <w:lang w:val="en-US" w:eastAsia="ja-JP"/>
        </w:rPr>
        <w:t xml:space="preserve"> in RAN1-NR#2, further optimization can be discussed by taking different TTI lengths between CGs into account. NR supports multiple numerologies and corresponding different slot durations. Therefore TTI lengths can be different between CGs. If </w:t>
      </w:r>
      <w:r>
        <w:rPr>
          <w:lang w:val="en-US" w:eastAsia="ja-JP"/>
        </w:rPr>
        <w:t>guaranteed</w:t>
      </w:r>
      <w:bookmarkStart w:id="0" w:name="_GoBack"/>
      <w:bookmarkEnd w:id="0"/>
      <w:r>
        <w:rPr>
          <w:rFonts w:hint="eastAsia"/>
          <w:lang w:val="en-US" w:eastAsia="ja-JP"/>
        </w:rPr>
        <w:t xml:space="preserve"> power for each RAT is semi-statically fixed, there will be </w:t>
      </w:r>
      <w:r>
        <w:rPr>
          <w:lang w:val="en-US" w:eastAsia="ja-JP"/>
        </w:rPr>
        <w:t>remaining</w:t>
      </w:r>
      <w:r>
        <w:rPr>
          <w:rFonts w:hint="eastAsia"/>
          <w:lang w:val="en-US" w:eastAsia="ja-JP"/>
        </w:rPr>
        <w:t xml:space="preserve"> power when a CG doesn</w:t>
      </w:r>
      <w:r>
        <w:rPr>
          <w:lang w:val="en-US" w:eastAsia="ja-JP"/>
        </w:rPr>
        <w:t>’</w:t>
      </w:r>
      <w:r>
        <w:rPr>
          <w:rFonts w:hint="eastAsia"/>
          <w:lang w:val="en-US" w:eastAsia="ja-JP"/>
        </w:rPr>
        <w:t>t transmit. An example is shown in Fig.1. When LTE doesn</w:t>
      </w:r>
      <w:r>
        <w:rPr>
          <w:lang w:val="en-US" w:eastAsia="ja-JP"/>
        </w:rPr>
        <w:t>’</w:t>
      </w:r>
      <w:r>
        <w:rPr>
          <w:rFonts w:hint="eastAsia"/>
          <w:lang w:val="en-US" w:eastAsia="ja-JP"/>
        </w:rPr>
        <w:t xml:space="preserve">t transmit in slot #1, there is </w:t>
      </w:r>
      <w:r>
        <w:rPr>
          <w:lang w:val="en-US" w:eastAsia="ja-JP"/>
        </w:rPr>
        <w:t>remaining</w:t>
      </w:r>
      <w:r>
        <w:rPr>
          <w:rFonts w:hint="eastAsia"/>
          <w:lang w:val="en-US" w:eastAsia="ja-JP"/>
        </w:rPr>
        <w:t xml:space="preserve"> power during the slot. However, if guaranteed power is strictly fixed, NR cannot utilize the </w:t>
      </w:r>
      <w:r>
        <w:rPr>
          <w:lang w:val="en-US" w:eastAsia="ja-JP"/>
        </w:rPr>
        <w:t>remaining</w:t>
      </w:r>
      <w:r>
        <w:rPr>
          <w:rFonts w:hint="eastAsia"/>
          <w:lang w:val="en-US" w:eastAsia="ja-JP"/>
        </w:rPr>
        <w:t xml:space="preserve"> power, even although UE knows it</w:t>
      </w:r>
      <w:r>
        <w:rPr>
          <w:lang w:val="en-US" w:eastAsia="ja-JP"/>
        </w:rPr>
        <w:t>’</w:t>
      </w:r>
      <w:r>
        <w:rPr>
          <w:rFonts w:hint="eastAsia"/>
          <w:lang w:val="en-US" w:eastAsia="ja-JP"/>
        </w:rPr>
        <w:t>s not used for LTE. Therefore, in order to utilize as much power as efficiently</w:t>
      </w:r>
      <w:r w:rsidR="007B420A">
        <w:rPr>
          <w:rFonts w:hint="eastAsia"/>
          <w:lang w:val="en-US" w:eastAsia="ja-JP"/>
        </w:rPr>
        <w:t xml:space="preserve"> in power-limited case</w:t>
      </w:r>
      <w:r>
        <w:rPr>
          <w:rFonts w:hint="eastAsia"/>
          <w:lang w:val="en-US" w:eastAsia="ja-JP"/>
        </w:rPr>
        <w:t xml:space="preserve">, we propose that UE should be allowed to borrow power from another CG when UE knows there is no </w:t>
      </w:r>
      <w:r>
        <w:rPr>
          <w:lang w:val="en-US" w:eastAsia="ja-JP"/>
        </w:rPr>
        <w:t>transmission</w:t>
      </w:r>
      <w:r>
        <w:rPr>
          <w:rFonts w:hint="eastAsia"/>
          <w:lang w:val="en-US" w:eastAsia="ja-JP"/>
        </w:rPr>
        <w:t xml:space="preserve"> in the CG. Note that it</w:t>
      </w:r>
      <w:r>
        <w:rPr>
          <w:lang w:val="en-US" w:eastAsia="ja-JP"/>
        </w:rPr>
        <w:t>’</w:t>
      </w:r>
      <w:r>
        <w:rPr>
          <w:rFonts w:hint="eastAsia"/>
          <w:lang w:val="en-US" w:eastAsia="ja-JP"/>
        </w:rPr>
        <w:t xml:space="preserve">s not allowed for UE to borrow power when there is uncertainty </w:t>
      </w:r>
      <w:proofErr w:type="gramStart"/>
      <w:r w:rsidR="00DD4F49">
        <w:rPr>
          <w:rFonts w:hint="eastAsia"/>
          <w:lang w:val="en-US" w:eastAsia="ja-JP"/>
        </w:rPr>
        <w:t>that</w:t>
      </w:r>
      <w:proofErr w:type="gramEnd"/>
      <w:r>
        <w:rPr>
          <w:rFonts w:hint="eastAsia"/>
          <w:lang w:val="en-US" w:eastAsia="ja-JP"/>
        </w:rPr>
        <w:t xml:space="preserve"> there is transmission or not, e.g., at TTI boundary such as slot #3 and 7 in Fig. 2.</w:t>
      </w:r>
    </w:p>
    <w:p w:rsidR="002058B2" w:rsidRPr="002058B2" w:rsidRDefault="005D6796" w:rsidP="002058B2">
      <w:pPr>
        <w:spacing w:before="240"/>
        <w:ind w:firstLineChars="50" w:firstLine="100"/>
        <w:jc w:val="center"/>
        <w:rPr>
          <w:lang w:val="en-US" w:eastAsia="ja-JP"/>
        </w:rPr>
      </w:pPr>
      <w:r>
        <w:rPr>
          <w:noProof/>
          <w:lang w:val="en-US" w:eastAsia="ja-JP"/>
        </w:rPr>
        <w:drawing>
          <wp:inline distT="0" distB="0" distL="0" distR="0">
            <wp:extent cx="5403850" cy="1685925"/>
            <wp:effectExtent l="0" t="0" r="0" b="9525"/>
            <wp:docPr id="139" name="図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3850" cy="1685925"/>
                    </a:xfrm>
                    <a:prstGeom prst="rect">
                      <a:avLst/>
                    </a:prstGeom>
                    <a:noFill/>
                    <a:ln>
                      <a:noFill/>
                    </a:ln>
                  </pic:spPr>
                </pic:pic>
              </a:graphicData>
            </a:graphic>
          </wp:inline>
        </w:drawing>
      </w:r>
    </w:p>
    <w:p w:rsidR="002058B2" w:rsidRDefault="002058B2" w:rsidP="002058B2">
      <w:pPr>
        <w:jc w:val="center"/>
        <w:rPr>
          <w:b/>
          <w:lang w:val="en-US" w:eastAsia="ja-JP"/>
        </w:rPr>
      </w:pPr>
      <w:r w:rsidRPr="00164A46">
        <w:rPr>
          <w:rFonts w:hint="eastAsia"/>
          <w:b/>
          <w:lang w:val="en-US" w:eastAsia="ja-JP"/>
        </w:rPr>
        <w:t>Figure</w:t>
      </w:r>
      <w:r>
        <w:rPr>
          <w:rFonts w:hint="eastAsia"/>
          <w:b/>
          <w:lang w:val="en-US" w:eastAsia="ja-JP"/>
        </w:rPr>
        <w:t xml:space="preserve"> 1: Power allocation with strict semi-static power sharing</w:t>
      </w:r>
    </w:p>
    <w:p w:rsidR="002058B2" w:rsidRPr="002058B2" w:rsidRDefault="005D6796" w:rsidP="002058B2">
      <w:pPr>
        <w:spacing w:before="240"/>
        <w:ind w:firstLineChars="50" w:firstLine="100"/>
        <w:jc w:val="center"/>
        <w:rPr>
          <w:lang w:val="en-US" w:eastAsia="ja-JP"/>
        </w:rPr>
      </w:pPr>
      <w:r>
        <w:rPr>
          <w:noProof/>
          <w:lang w:val="en-US" w:eastAsia="ja-JP"/>
        </w:rPr>
        <w:lastRenderedPageBreak/>
        <w:drawing>
          <wp:inline distT="0" distB="0" distL="0" distR="0">
            <wp:extent cx="5257800" cy="1640205"/>
            <wp:effectExtent l="0" t="0" r="0" b="0"/>
            <wp:docPr id="193" name="図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0" cy="1640205"/>
                    </a:xfrm>
                    <a:prstGeom prst="rect">
                      <a:avLst/>
                    </a:prstGeom>
                    <a:noFill/>
                    <a:ln>
                      <a:noFill/>
                    </a:ln>
                  </pic:spPr>
                </pic:pic>
              </a:graphicData>
            </a:graphic>
          </wp:inline>
        </w:drawing>
      </w:r>
    </w:p>
    <w:p w:rsidR="002058B2" w:rsidRPr="002058B2" w:rsidRDefault="002058B2" w:rsidP="002058B2">
      <w:pPr>
        <w:jc w:val="center"/>
        <w:rPr>
          <w:b/>
          <w:lang w:val="en-US" w:eastAsia="ja-JP"/>
        </w:rPr>
      </w:pPr>
      <w:r w:rsidRPr="00164A46">
        <w:rPr>
          <w:rFonts w:hint="eastAsia"/>
          <w:b/>
          <w:lang w:val="en-US" w:eastAsia="ja-JP"/>
        </w:rPr>
        <w:t>Figure</w:t>
      </w:r>
      <w:r>
        <w:rPr>
          <w:rFonts w:hint="eastAsia"/>
          <w:b/>
          <w:lang w:val="en-US" w:eastAsia="ja-JP"/>
        </w:rPr>
        <w:t xml:space="preserve"> 1: Power allocation with flexible semi-static power sharing</w:t>
      </w:r>
    </w:p>
    <w:p w:rsidR="00D549C0" w:rsidRDefault="00D549C0" w:rsidP="00D549C0">
      <w:pPr>
        <w:ind w:leftChars="50" w:left="1132" w:hangingChars="514" w:hanging="1032"/>
        <w:jc w:val="both"/>
        <w:rPr>
          <w:b/>
          <w:i/>
          <w:lang w:val="en-US" w:eastAsia="ja-JP"/>
        </w:rPr>
      </w:pPr>
      <w:r>
        <w:rPr>
          <w:rFonts w:hint="eastAsia"/>
          <w:b/>
          <w:i/>
          <w:lang w:val="en-US" w:eastAsia="ja-JP"/>
        </w:rPr>
        <w:t xml:space="preserve">Proposal 1: </w:t>
      </w:r>
      <w:r w:rsidRPr="00D366B4">
        <w:rPr>
          <w:b/>
          <w:i/>
          <w:lang w:val="en-US" w:eastAsia="ja-JP"/>
        </w:rPr>
        <w:t xml:space="preserve">Support </w:t>
      </w:r>
      <w:r w:rsidRPr="00D549C0">
        <w:rPr>
          <w:b/>
          <w:i/>
          <w:lang w:val="en-US" w:eastAsia="ja-JP"/>
        </w:rPr>
        <w:t>UE to borrow power from another CG when UE knows there is no transmission in the CG</w:t>
      </w:r>
    </w:p>
    <w:p w:rsidR="00D549C0" w:rsidRPr="008A4B9E" w:rsidRDefault="00D549C0" w:rsidP="00D549C0">
      <w:pPr>
        <w:ind w:leftChars="567" w:left="1134"/>
        <w:jc w:val="both"/>
        <w:rPr>
          <w:b/>
          <w:i/>
          <w:lang w:eastAsia="ja-JP"/>
        </w:rPr>
      </w:pPr>
      <w:r>
        <w:rPr>
          <w:b/>
          <w:i/>
          <w:lang w:eastAsia="ja-JP"/>
        </w:rPr>
        <w:t>Note</w:t>
      </w:r>
      <w:r>
        <w:rPr>
          <w:rFonts w:hint="eastAsia"/>
          <w:b/>
          <w:i/>
          <w:lang w:eastAsia="ja-JP"/>
        </w:rPr>
        <w:t>:</w:t>
      </w:r>
      <w:r w:rsidRPr="008A4B9E">
        <w:rPr>
          <w:b/>
          <w:i/>
          <w:lang w:eastAsia="ja-JP"/>
        </w:rPr>
        <w:t xml:space="preserve"> it’s not allowed for UE to borrow power when there is uncertainty whether there is transmission or not, e.g., at TTI boundary</w:t>
      </w:r>
      <w:r w:rsidRPr="008A4B9E">
        <w:rPr>
          <w:rFonts w:hint="eastAsia"/>
          <w:b/>
          <w:i/>
          <w:lang w:eastAsia="ja-JP"/>
        </w:rPr>
        <w:t>.</w:t>
      </w:r>
    </w:p>
    <w:p w:rsidR="00174FF3" w:rsidRPr="00E52A37" w:rsidRDefault="00174FF3" w:rsidP="00174FF3">
      <w:pPr>
        <w:pStyle w:val="10"/>
        <w:tabs>
          <w:tab w:val="clear" w:pos="432"/>
          <w:tab w:val="num" w:pos="522"/>
        </w:tabs>
        <w:ind w:left="522" w:hanging="522"/>
        <w:jc w:val="both"/>
        <w:rPr>
          <w:lang w:val="en-US" w:eastAsia="ja-JP"/>
        </w:rPr>
      </w:pPr>
      <w:r w:rsidRPr="00E52A37">
        <w:rPr>
          <w:rFonts w:hint="eastAsia"/>
          <w:lang w:val="en-US" w:eastAsia="ja-JP"/>
        </w:rPr>
        <w:t>Conclusion</w:t>
      </w:r>
    </w:p>
    <w:p w:rsidR="00227339" w:rsidRDefault="00227339" w:rsidP="00B446A7">
      <w:pPr>
        <w:ind w:firstLineChars="51" w:firstLine="102"/>
        <w:jc w:val="both"/>
        <w:rPr>
          <w:lang w:val="en-US" w:eastAsia="ja-JP"/>
        </w:rPr>
      </w:pPr>
      <w:r w:rsidRPr="00291311">
        <w:rPr>
          <w:lang w:val="en-US" w:eastAsia="ja-JP"/>
        </w:rPr>
        <w:t xml:space="preserve">In this contribution we </w:t>
      </w:r>
      <w:r w:rsidR="006036D8">
        <w:rPr>
          <w:rFonts w:hint="eastAsia"/>
          <w:lang w:val="en-US" w:eastAsia="ja-JP"/>
        </w:rPr>
        <w:t xml:space="preserve">had discussion on </w:t>
      </w:r>
      <w:r w:rsidR="00B446A7">
        <w:rPr>
          <w:rFonts w:hint="eastAsia"/>
          <w:lang w:val="en-US" w:eastAsia="ja-JP"/>
        </w:rPr>
        <w:t xml:space="preserve">further optimization on semi-static </w:t>
      </w:r>
      <w:r w:rsidR="006036D8">
        <w:rPr>
          <w:rFonts w:hint="eastAsia"/>
          <w:lang w:val="en-US" w:eastAsia="ja-JP"/>
        </w:rPr>
        <w:t>power sharing mechanism</w:t>
      </w:r>
      <w:r w:rsidRPr="00291311">
        <w:rPr>
          <w:lang w:val="en-US" w:eastAsia="ja-JP"/>
        </w:rPr>
        <w:t xml:space="preserve">. Our </w:t>
      </w:r>
      <w:r w:rsidR="00D366B4">
        <w:rPr>
          <w:lang w:val="en-US" w:eastAsia="ja-JP"/>
        </w:rPr>
        <w:t>proposal</w:t>
      </w:r>
      <w:r w:rsidR="00385183">
        <w:rPr>
          <w:rFonts w:hint="eastAsia"/>
          <w:lang w:val="en-US" w:eastAsia="ja-JP"/>
        </w:rPr>
        <w:t xml:space="preserve"> is</w:t>
      </w:r>
      <w:r>
        <w:rPr>
          <w:lang w:val="en-US" w:eastAsia="ja-JP"/>
        </w:rPr>
        <w:t xml:space="preserve"> </w:t>
      </w:r>
      <w:r w:rsidRPr="00291311">
        <w:rPr>
          <w:lang w:val="en-US" w:eastAsia="ja-JP"/>
        </w:rPr>
        <w:t>as followed:</w:t>
      </w:r>
    </w:p>
    <w:p w:rsidR="003E026B" w:rsidRDefault="003E026B" w:rsidP="003E026B">
      <w:pPr>
        <w:ind w:leftChars="50" w:left="1132" w:hangingChars="514" w:hanging="1032"/>
        <w:jc w:val="both"/>
        <w:rPr>
          <w:b/>
          <w:i/>
          <w:lang w:val="en-US" w:eastAsia="ja-JP"/>
        </w:rPr>
      </w:pPr>
      <w:r>
        <w:rPr>
          <w:rFonts w:hint="eastAsia"/>
          <w:b/>
          <w:i/>
          <w:lang w:val="en-US" w:eastAsia="ja-JP"/>
        </w:rPr>
        <w:t xml:space="preserve">Proposal 1: </w:t>
      </w:r>
      <w:r w:rsidRPr="00D366B4">
        <w:rPr>
          <w:b/>
          <w:i/>
          <w:lang w:val="en-US" w:eastAsia="ja-JP"/>
        </w:rPr>
        <w:t xml:space="preserve">Support </w:t>
      </w:r>
      <w:r w:rsidRPr="00D549C0">
        <w:rPr>
          <w:b/>
          <w:i/>
          <w:lang w:val="en-US" w:eastAsia="ja-JP"/>
        </w:rPr>
        <w:t>UE to borrow power from another CG when UE knows there is no transmission in the CG</w:t>
      </w:r>
    </w:p>
    <w:p w:rsidR="003E026B" w:rsidRPr="008A4B9E" w:rsidRDefault="003E026B" w:rsidP="003E026B">
      <w:pPr>
        <w:ind w:leftChars="567" w:left="1134"/>
        <w:jc w:val="both"/>
        <w:rPr>
          <w:b/>
          <w:i/>
          <w:lang w:eastAsia="ja-JP"/>
        </w:rPr>
      </w:pPr>
      <w:r>
        <w:rPr>
          <w:b/>
          <w:i/>
          <w:lang w:eastAsia="ja-JP"/>
        </w:rPr>
        <w:t>Note</w:t>
      </w:r>
      <w:r>
        <w:rPr>
          <w:rFonts w:hint="eastAsia"/>
          <w:b/>
          <w:i/>
          <w:lang w:eastAsia="ja-JP"/>
        </w:rPr>
        <w:t>:</w:t>
      </w:r>
      <w:r w:rsidRPr="008A4B9E">
        <w:rPr>
          <w:b/>
          <w:i/>
          <w:lang w:eastAsia="ja-JP"/>
        </w:rPr>
        <w:t xml:space="preserve"> it’s not allowed for UE to borrow power when there is uncertainty whether there is transmission or not, e.g., at TTI boundary</w:t>
      </w:r>
      <w:r w:rsidRPr="008A4B9E">
        <w:rPr>
          <w:rFonts w:hint="eastAsia"/>
          <w:b/>
          <w:i/>
          <w:lang w:eastAsia="ja-JP"/>
        </w:rPr>
        <w:t>.</w:t>
      </w:r>
    </w:p>
    <w:p w:rsidR="0069757C" w:rsidRPr="00E52A37" w:rsidRDefault="0069757C" w:rsidP="005B52DD">
      <w:pPr>
        <w:pStyle w:val="10"/>
        <w:numPr>
          <w:ilvl w:val="0"/>
          <w:numId w:val="0"/>
        </w:numPr>
        <w:tabs>
          <w:tab w:val="num" w:pos="432"/>
        </w:tabs>
        <w:ind w:left="432" w:hanging="432"/>
        <w:jc w:val="both"/>
        <w:rPr>
          <w:lang w:val="en-US" w:eastAsia="ja-JP"/>
        </w:rPr>
      </w:pPr>
      <w:r w:rsidRPr="00E52A37">
        <w:rPr>
          <w:lang w:val="en-US"/>
        </w:rPr>
        <w:t>Reference</w:t>
      </w:r>
    </w:p>
    <w:p w:rsidR="00B65EA0" w:rsidRPr="00F87F55" w:rsidRDefault="00F87F55" w:rsidP="00F87F55">
      <w:pPr>
        <w:rPr>
          <w:lang w:val="en-US" w:eastAsia="ja-JP"/>
        </w:rPr>
      </w:pPr>
      <w:r>
        <w:rPr>
          <w:lang w:val="en-US" w:eastAsia="ja-JP"/>
        </w:rPr>
        <w:t>[</w:t>
      </w:r>
      <w:r>
        <w:rPr>
          <w:rFonts w:hint="eastAsia"/>
          <w:lang w:val="en-US" w:eastAsia="ja-JP"/>
        </w:rPr>
        <w:t>1</w:t>
      </w:r>
      <w:r w:rsidRPr="00291311">
        <w:rPr>
          <w:lang w:val="en-US" w:eastAsia="ja-JP"/>
        </w:rPr>
        <w:t>]</w:t>
      </w:r>
      <w:r w:rsidRPr="00C826C4">
        <w:t xml:space="preserve"> </w:t>
      </w:r>
      <w:r>
        <w:rPr>
          <w:rFonts w:hint="eastAsia"/>
          <w:lang w:val="en-US" w:eastAsia="ja-JP"/>
        </w:rPr>
        <w:t>Chairman</w:t>
      </w:r>
      <w:r>
        <w:rPr>
          <w:lang w:val="en-US" w:eastAsia="ja-JP"/>
        </w:rPr>
        <w:t>’</w:t>
      </w:r>
      <w:r>
        <w:rPr>
          <w:rFonts w:hint="eastAsia"/>
          <w:lang w:val="en-US" w:eastAsia="ja-JP"/>
        </w:rPr>
        <w:t>s note</w:t>
      </w:r>
      <w:r w:rsidRPr="00291311">
        <w:rPr>
          <w:lang w:val="en-US" w:eastAsia="ja-JP"/>
        </w:rPr>
        <w:t>,</w:t>
      </w:r>
      <w:r w:rsidR="00002231">
        <w:rPr>
          <w:rFonts w:hint="eastAsia"/>
          <w:lang w:val="en-US" w:eastAsia="ja-JP"/>
        </w:rPr>
        <w:t xml:space="preserve"> RAN1-NR#2, June</w:t>
      </w:r>
      <w:r>
        <w:rPr>
          <w:rFonts w:hint="eastAsia"/>
          <w:lang w:val="en-US" w:eastAsia="ja-JP"/>
        </w:rPr>
        <w:t xml:space="preserve"> 2017</w:t>
      </w:r>
    </w:p>
    <w:sectPr w:rsidR="00B65EA0" w:rsidRPr="00F87F55"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81F" w:rsidRDefault="00D5681F">
      <w:r>
        <w:separator/>
      </w:r>
    </w:p>
  </w:endnote>
  <w:endnote w:type="continuationSeparator" w:id="0">
    <w:p w:rsidR="00D5681F" w:rsidRDefault="00D5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A30F99">
      <w:rPr>
        <w:rStyle w:val="afb"/>
      </w:rPr>
      <w:t>2</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81F" w:rsidRDefault="00D5681F">
      <w:r>
        <w:separator/>
      </w:r>
    </w:p>
  </w:footnote>
  <w:footnote w:type="continuationSeparator" w:id="0">
    <w:p w:rsidR="00D5681F" w:rsidRDefault="00D568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10E12"/>
    <w:multiLevelType w:val="hybridMultilevel"/>
    <w:tmpl w:val="FDBA5BBA"/>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2">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1">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6">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7">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8">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9">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3">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5">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5923129"/>
    <w:multiLevelType w:val="hybridMultilevel"/>
    <w:tmpl w:val="64FC70C4"/>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9">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1">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3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4">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7">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8">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9">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3">
    <w:nsid w:val="721B4833"/>
    <w:multiLevelType w:val="hybridMultilevel"/>
    <w:tmpl w:val="1E867F8C"/>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41"/>
  </w:num>
  <w:num w:numId="3">
    <w:abstractNumId w:val="44"/>
  </w:num>
  <w:num w:numId="4">
    <w:abstractNumId w:val="34"/>
  </w:num>
  <w:num w:numId="5">
    <w:abstractNumId w:val="20"/>
  </w:num>
  <w:num w:numId="6">
    <w:abstractNumId w:val="9"/>
  </w:num>
  <w:num w:numId="7">
    <w:abstractNumId w:val="40"/>
  </w:num>
  <w:num w:numId="8">
    <w:abstractNumId w:val="21"/>
  </w:num>
  <w:num w:numId="9">
    <w:abstractNumId w:val="32"/>
  </w:num>
  <w:num w:numId="10">
    <w:abstractNumId w:val="45"/>
  </w:num>
  <w:num w:numId="11">
    <w:abstractNumId w:val="29"/>
  </w:num>
  <w:num w:numId="12">
    <w:abstractNumId w:val="38"/>
  </w:num>
  <w:num w:numId="13">
    <w:abstractNumId w:val="14"/>
  </w:num>
  <w:num w:numId="14">
    <w:abstractNumId w:val="2"/>
  </w:num>
  <w:num w:numId="15">
    <w:abstractNumId w:val="23"/>
  </w:num>
  <w:num w:numId="16">
    <w:abstractNumId w:val="7"/>
  </w:num>
  <w:num w:numId="17">
    <w:abstractNumId w:val="17"/>
  </w:num>
  <w:num w:numId="18">
    <w:abstractNumId w:val="13"/>
  </w:num>
  <w:num w:numId="19">
    <w:abstractNumId w:val="24"/>
  </w:num>
  <w:num w:numId="20">
    <w:abstractNumId w:val="22"/>
  </w:num>
  <w:num w:numId="21">
    <w:abstractNumId w:val="28"/>
  </w:num>
  <w:num w:numId="22">
    <w:abstractNumId w:val="30"/>
  </w:num>
  <w:num w:numId="23">
    <w:abstractNumId w:val="11"/>
  </w:num>
  <w:num w:numId="24">
    <w:abstractNumId w:val="25"/>
  </w:num>
  <w:num w:numId="25">
    <w:abstractNumId w:val="42"/>
  </w:num>
  <w:num w:numId="26">
    <w:abstractNumId w:val="5"/>
  </w:num>
  <w:num w:numId="27">
    <w:abstractNumId w:val="18"/>
  </w:num>
  <w:num w:numId="28">
    <w:abstractNumId w:val="3"/>
  </w:num>
  <w:num w:numId="29">
    <w:abstractNumId w:val="36"/>
  </w:num>
  <w:num w:numId="30">
    <w:abstractNumId w:val="4"/>
  </w:num>
  <w:num w:numId="31">
    <w:abstractNumId w:val="6"/>
  </w:num>
  <w:num w:numId="32">
    <w:abstractNumId w:val="37"/>
  </w:num>
  <w:num w:numId="33">
    <w:abstractNumId w:val="33"/>
  </w:num>
  <w:num w:numId="34">
    <w:abstractNumId w:val="19"/>
  </w:num>
  <w:num w:numId="35">
    <w:abstractNumId w:val="12"/>
  </w:num>
  <w:num w:numId="36">
    <w:abstractNumId w:val="35"/>
  </w:num>
  <w:num w:numId="37">
    <w:abstractNumId w:val="8"/>
  </w:num>
  <w:num w:numId="38">
    <w:abstractNumId w:val="1"/>
  </w:num>
  <w:num w:numId="39">
    <w:abstractNumId w:val="31"/>
  </w:num>
  <w:num w:numId="40">
    <w:abstractNumId w:val="15"/>
  </w:num>
  <w:num w:numId="41">
    <w:abstractNumId w:val="10"/>
  </w:num>
  <w:num w:numId="42">
    <w:abstractNumId w:val="16"/>
  </w:num>
  <w:num w:numId="43">
    <w:abstractNumId w:val="27"/>
  </w:num>
  <w:num w:numId="44">
    <w:abstractNumId w:val="43"/>
  </w:num>
  <w:num w:numId="45">
    <w:abstractNumId w:val="0"/>
  </w:num>
  <w:num w:numId="46">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33AC"/>
    <w:rsid w:val="00023634"/>
    <w:rsid w:val="00024030"/>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30D5"/>
    <w:rsid w:val="000737DA"/>
    <w:rsid w:val="00074CB3"/>
    <w:rsid w:val="0007532A"/>
    <w:rsid w:val="0007555F"/>
    <w:rsid w:val="00075669"/>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2578"/>
    <w:rsid w:val="00092919"/>
    <w:rsid w:val="00092D1D"/>
    <w:rsid w:val="00092DCA"/>
    <w:rsid w:val="00092E07"/>
    <w:rsid w:val="000937D2"/>
    <w:rsid w:val="00093C69"/>
    <w:rsid w:val="000940C0"/>
    <w:rsid w:val="0009488D"/>
    <w:rsid w:val="00094998"/>
    <w:rsid w:val="00094E58"/>
    <w:rsid w:val="00094FFF"/>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41135"/>
    <w:rsid w:val="00141236"/>
    <w:rsid w:val="00142046"/>
    <w:rsid w:val="00142612"/>
    <w:rsid w:val="00142BD0"/>
    <w:rsid w:val="001430CD"/>
    <w:rsid w:val="0014388E"/>
    <w:rsid w:val="00144026"/>
    <w:rsid w:val="00144095"/>
    <w:rsid w:val="001442A4"/>
    <w:rsid w:val="001445CF"/>
    <w:rsid w:val="00144A0C"/>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F080D"/>
    <w:rsid w:val="001F099B"/>
    <w:rsid w:val="001F1233"/>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5B5"/>
    <w:rsid w:val="00263B56"/>
    <w:rsid w:val="00263CB4"/>
    <w:rsid w:val="002647D1"/>
    <w:rsid w:val="00265201"/>
    <w:rsid w:val="002658E7"/>
    <w:rsid w:val="00265CA7"/>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32EC"/>
    <w:rsid w:val="00294587"/>
    <w:rsid w:val="002954C9"/>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1F51"/>
    <w:rsid w:val="00322EBD"/>
    <w:rsid w:val="00323F04"/>
    <w:rsid w:val="003248DA"/>
    <w:rsid w:val="00324937"/>
    <w:rsid w:val="00325C68"/>
    <w:rsid w:val="00325D20"/>
    <w:rsid w:val="00326129"/>
    <w:rsid w:val="003267B9"/>
    <w:rsid w:val="00327B03"/>
    <w:rsid w:val="00327EF9"/>
    <w:rsid w:val="00330243"/>
    <w:rsid w:val="003306A0"/>
    <w:rsid w:val="00330EBE"/>
    <w:rsid w:val="003316A4"/>
    <w:rsid w:val="00331FAF"/>
    <w:rsid w:val="003321A4"/>
    <w:rsid w:val="003324CA"/>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404F3"/>
    <w:rsid w:val="003407C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F3B"/>
    <w:rsid w:val="003915C5"/>
    <w:rsid w:val="003916AB"/>
    <w:rsid w:val="00391CF7"/>
    <w:rsid w:val="00392F02"/>
    <w:rsid w:val="00393306"/>
    <w:rsid w:val="00394151"/>
    <w:rsid w:val="00394216"/>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819"/>
    <w:rsid w:val="003B2A8C"/>
    <w:rsid w:val="003B30AB"/>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C0C"/>
    <w:rsid w:val="003D109E"/>
    <w:rsid w:val="003D10D1"/>
    <w:rsid w:val="003D1436"/>
    <w:rsid w:val="003D1750"/>
    <w:rsid w:val="003D1991"/>
    <w:rsid w:val="003D1B40"/>
    <w:rsid w:val="003D1B82"/>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26B"/>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B4"/>
    <w:rsid w:val="00471B2D"/>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2550"/>
    <w:rsid w:val="004C321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8DE"/>
    <w:rsid w:val="004D4BFB"/>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967"/>
    <w:rsid w:val="004E7056"/>
    <w:rsid w:val="004E7064"/>
    <w:rsid w:val="004E78C8"/>
    <w:rsid w:val="004F2825"/>
    <w:rsid w:val="004F2B2D"/>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89"/>
    <w:rsid w:val="00505386"/>
    <w:rsid w:val="0050595F"/>
    <w:rsid w:val="005068E4"/>
    <w:rsid w:val="00506CAE"/>
    <w:rsid w:val="00507525"/>
    <w:rsid w:val="00507B00"/>
    <w:rsid w:val="00507B9C"/>
    <w:rsid w:val="00510D81"/>
    <w:rsid w:val="00511476"/>
    <w:rsid w:val="0051190A"/>
    <w:rsid w:val="00511FD4"/>
    <w:rsid w:val="00512906"/>
    <w:rsid w:val="00512FD7"/>
    <w:rsid w:val="005134F9"/>
    <w:rsid w:val="00513A7C"/>
    <w:rsid w:val="00514CD7"/>
    <w:rsid w:val="0051521E"/>
    <w:rsid w:val="005159AB"/>
    <w:rsid w:val="005167E8"/>
    <w:rsid w:val="00517286"/>
    <w:rsid w:val="005201CB"/>
    <w:rsid w:val="00521297"/>
    <w:rsid w:val="00521369"/>
    <w:rsid w:val="0052176E"/>
    <w:rsid w:val="00521FC8"/>
    <w:rsid w:val="00523323"/>
    <w:rsid w:val="00523543"/>
    <w:rsid w:val="00524D75"/>
    <w:rsid w:val="00524DB5"/>
    <w:rsid w:val="005250CF"/>
    <w:rsid w:val="005250F6"/>
    <w:rsid w:val="00525533"/>
    <w:rsid w:val="00525E31"/>
    <w:rsid w:val="005262B2"/>
    <w:rsid w:val="005266A1"/>
    <w:rsid w:val="00526B3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586"/>
    <w:rsid w:val="00571259"/>
    <w:rsid w:val="005719CC"/>
    <w:rsid w:val="00572669"/>
    <w:rsid w:val="00574F66"/>
    <w:rsid w:val="00575CE2"/>
    <w:rsid w:val="00575ED0"/>
    <w:rsid w:val="00576050"/>
    <w:rsid w:val="00576135"/>
    <w:rsid w:val="00576D83"/>
    <w:rsid w:val="00580227"/>
    <w:rsid w:val="0058025A"/>
    <w:rsid w:val="00580630"/>
    <w:rsid w:val="00580F54"/>
    <w:rsid w:val="005816AC"/>
    <w:rsid w:val="00581AEE"/>
    <w:rsid w:val="00581DE9"/>
    <w:rsid w:val="0058268D"/>
    <w:rsid w:val="00582AE9"/>
    <w:rsid w:val="00583422"/>
    <w:rsid w:val="00583534"/>
    <w:rsid w:val="0058368D"/>
    <w:rsid w:val="00583984"/>
    <w:rsid w:val="00583FF2"/>
    <w:rsid w:val="005845FF"/>
    <w:rsid w:val="00584BDB"/>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42D5"/>
    <w:rsid w:val="005944B3"/>
    <w:rsid w:val="0059466A"/>
    <w:rsid w:val="00594752"/>
    <w:rsid w:val="00594C6A"/>
    <w:rsid w:val="0059533D"/>
    <w:rsid w:val="00595D7D"/>
    <w:rsid w:val="00596215"/>
    <w:rsid w:val="00596D2E"/>
    <w:rsid w:val="00597542"/>
    <w:rsid w:val="00597A9E"/>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75"/>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DE"/>
    <w:rsid w:val="006B0935"/>
    <w:rsid w:val="006B0EA0"/>
    <w:rsid w:val="006B15BF"/>
    <w:rsid w:val="006B1C59"/>
    <w:rsid w:val="006B2346"/>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573"/>
    <w:rsid w:val="006F1F48"/>
    <w:rsid w:val="006F2147"/>
    <w:rsid w:val="006F2400"/>
    <w:rsid w:val="006F3228"/>
    <w:rsid w:val="006F496F"/>
    <w:rsid w:val="006F4AA6"/>
    <w:rsid w:val="006F4B7B"/>
    <w:rsid w:val="006F4DBC"/>
    <w:rsid w:val="006F4F21"/>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5335"/>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7CD"/>
    <w:rsid w:val="007D67F2"/>
    <w:rsid w:val="007D6CE6"/>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FC8"/>
    <w:rsid w:val="008000EE"/>
    <w:rsid w:val="00800130"/>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620"/>
    <w:rsid w:val="008125C7"/>
    <w:rsid w:val="00812E85"/>
    <w:rsid w:val="008132B2"/>
    <w:rsid w:val="008134BC"/>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37DE8"/>
    <w:rsid w:val="0084009E"/>
    <w:rsid w:val="0084078A"/>
    <w:rsid w:val="00841439"/>
    <w:rsid w:val="00841619"/>
    <w:rsid w:val="0084182C"/>
    <w:rsid w:val="00842010"/>
    <w:rsid w:val="00842E2F"/>
    <w:rsid w:val="008436A4"/>
    <w:rsid w:val="0084379E"/>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E0"/>
    <w:rsid w:val="00896DB2"/>
    <w:rsid w:val="00896EB8"/>
    <w:rsid w:val="00896F0D"/>
    <w:rsid w:val="0089728D"/>
    <w:rsid w:val="008A072D"/>
    <w:rsid w:val="008A0BD2"/>
    <w:rsid w:val="008A0E21"/>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47C5"/>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2889"/>
    <w:rsid w:val="00A130A8"/>
    <w:rsid w:val="00A13382"/>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5F4F"/>
    <w:rsid w:val="00AA60E2"/>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6218"/>
    <w:rsid w:val="00AC69EC"/>
    <w:rsid w:val="00AC6C3A"/>
    <w:rsid w:val="00AC6F0E"/>
    <w:rsid w:val="00AC7012"/>
    <w:rsid w:val="00AC7397"/>
    <w:rsid w:val="00AC7471"/>
    <w:rsid w:val="00AC7E61"/>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37CB"/>
    <w:rsid w:val="00AF4505"/>
    <w:rsid w:val="00AF481D"/>
    <w:rsid w:val="00AF4EB8"/>
    <w:rsid w:val="00AF56DB"/>
    <w:rsid w:val="00AF5718"/>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9AF"/>
    <w:rsid w:val="00B40C74"/>
    <w:rsid w:val="00B413BD"/>
    <w:rsid w:val="00B432A5"/>
    <w:rsid w:val="00B43B86"/>
    <w:rsid w:val="00B43F9C"/>
    <w:rsid w:val="00B440E8"/>
    <w:rsid w:val="00B446A7"/>
    <w:rsid w:val="00B45E6D"/>
    <w:rsid w:val="00B46047"/>
    <w:rsid w:val="00B47227"/>
    <w:rsid w:val="00B509FF"/>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E65AF"/>
    <w:rsid w:val="00BF0413"/>
    <w:rsid w:val="00BF0550"/>
    <w:rsid w:val="00BF0A47"/>
    <w:rsid w:val="00BF117A"/>
    <w:rsid w:val="00BF1311"/>
    <w:rsid w:val="00BF1E92"/>
    <w:rsid w:val="00BF207F"/>
    <w:rsid w:val="00BF24EF"/>
    <w:rsid w:val="00BF2CDC"/>
    <w:rsid w:val="00BF3A02"/>
    <w:rsid w:val="00BF4064"/>
    <w:rsid w:val="00BF40A8"/>
    <w:rsid w:val="00BF49E1"/>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757A"/>
    <w:rsid w:val="00C37693"/>
    <w:rsid w:val="00C40325"/>
    <w:rsid w:val="00C406A9"/>
    <w:rsid w:val="00C40FC6"/>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B9E"/>
    <w:rsid w:val="00C52CCA"/>
    <w:rsid w:val="00C541D2"/>
    <w:rsid w:val="00C5583C"/>
    <w:rsid w:val="00C571F6"/>
    <w:rsid w:val="00C5751B"/>
    <w:rsid w:val="00C57599"/>
    <w:rsid w:val="00C60121"/>
    <w:rsid w:val="00C61299"/>
    <w:rsid w:val="00C615C8"/>
    <w:rsid w:val="00C615D4"/>
    <w:rsid w:val="00C61A6D"/>
    <w:rsid w:val="00C627E3"/>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762"/>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FDE"/>
    <w:rsid w:val="00CF65B9"/>
    <w:rsid w:val="00CF69C5"/>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2234"/>
    <w:rsid w:val="00D22E7A"/>
    <w:rsid w:val="00D23104"/>
    <w:rsid w:val="00D2532D"/>
    <w:rsid w:val="00D26312"/>
    <w:rsid w:val="00D26419"/>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436"/>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0293"/>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138F"/>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608"/>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D28"/>
    <w:rsid w:val="00ED1E4C"/>
    <w:rsid w:val="00ED33CC"/>
    <w:rsid w:val="00ED444D"/>
    <w:rsid w:val="00ED5874"/>
    <w:rsid w:val="00ED59E8"/>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FFE"/>
    <w:rsid w:val="00F334D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50AE"/>
    <w:rsid w:val="00F553CD"/>
    <w:rsid w:val="00F55F6C"/>
    <w:rsid w:val="00F56228"/>
    <w:rsid w:val="00F5634A"/>
    <w:rsid w:val="00F56A52"/>
    <w:rsid w:val="00F56CD4"/>
    <w:rsid w:val="00F577C7"/>
    <w:rsid w:val="00F57822"/>
    <w:rsid w:val="00F60331"/>
    <w:rsid w:val="00F609D9"/>
    <w:rsid w:val="00F62B53"/>
    <w:rsid w:val="00F62CBF"/>
    <w:rsid w:val="00F63633"/>
    <w:rsid w:val="00F63A73"/>
    <w:rsid w:val="00F654BA"/>
    <w:rsid w:val="00F65E8D"/>
    <w:rsid w:val="00F66838"/>
    <w:rsid w:val="00F66FC2"/>
    <w:rsid w:val="00F671F0"/>
    <w:rsid w:val="00F6737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8195E"/>
    <w:rsid w:val="00F8199C"/>
    <w:rsid w:val="00F8202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3</TotalTime>
  <Pages>2</Pages>
  <Words>419</Words>
  <Characters>2392</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2806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747</cp:revision>
  <cp:lastPrinted>2017-04-28T00:53:00Z</cp:lastPrinted>
  <dcterms:created xsi:type="dcterms:W3CDTF">2017-08-02T02:49:00Z</dcterms:created>
  <dcterms:modified xsi:type="dcterms:W3CDTF">2017-08-10T09:24:00Z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